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异常提单轨迹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r>
        <w:drawing>
          <wp:inline distT="0" distB="0" distL="114300" distR="114300">
            <wp:extent cx="5269865" cy="281114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r>
        <w:drawing>
          <wp:inline distT="0" distB="0" distL="114300" distR="114300">
            <wp:extent cx="5266690" cy="242252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异常提单轨迹对其他功能的影响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2.1、对客户查询轨迹的影响：客户不允许查询</w:t>
      </w:r>
      <w:r>
        <w:rPr>
          <w:rFonts w:hint="eastAsia"/>
          <w:color w:val="FF0000"/>
          <w:lang w:val="en-US" w:eastAsia="zh-CN"/>
        </w:rPr>
        <w:t>异常</w:t>
      </w:r>
      <w:r>
        <w:rPr>
          <w:rFonts w:hint="eastAsia"/>
          <w:lang w:val="en-US" w:eastAsia="zh-CN"/>
        </w:rPr>
        <w:t>的提单轨迹，具体影响功能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附带处理：增加对提单轨迹的查询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2.1.1、专线订单.轨迹信息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264223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2.1.2、订单管理.轨迹信息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2592705"/>
            <wp:effectExtent l="0" t="0" r="952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2.1.3、对外官网查询轨迹（此点需重点排查）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2.1.4、微信公众号的轨迹查询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70BC9"/>
    <w:multiLevelType w:val="singleLevel"/>
    <w:tmpl w:val="F2370B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5F21"/>
    <w:rsid w:val="66B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2021-07-24T02:54:00Z</dcterms:created>
  <dc:creator>Simon</dc:creator>
  <cp:lastModifiedBy>Simon</cp:lastModifiedBy>
  <dcterms:modified xsi:type="dcterms:W3CDTF">2021-07-24T03:11:38Z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D443B81F173E405084D3232E5E7C48F8</vt:lpwstr>
  </property>
</Properties>
</file>