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指定路线</w:t>
      </w:r>
    </w:p>
    <w:p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1.1、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600065" cy="3994150"/>
            <wp:effectExtent l="0" t="0" r="635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594350" cy="2940685"/>
            <wp:effectExtent l="0" t="0" r="635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600700" cy="3080385"/>
            <wp:effectExtent l="0" t="0" r="0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  <w:rPr>
          <w:b/>
          <w:bCs/>
          <w:color w:val="FF0000"/>
        </w:rPr>
      </w:pPr>
      <w:bookmarkStart w:id="0" w:name="_GoBack"/>
    </w:p>
    <w:p>
      <w:pPr>
        <w:numPr>
          <w:numId w:val="0"/>
        </w:numPr>
        <w:jc w:val="left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特别注意调整：订单预报时增加对收货时先排货后获取的处理</w:t>
      </w:r>
    </w:p>
    <w:bookmarkEnd w:id="0"/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8" o:spt="75" type="#_x0000_t75" style="height:431.7pt;width:440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5" ShapeID="_x0000_i1028" DrawAspect="Content" ObjectID="_1468075725" r:id="rId7">
            <o:LockedField>false</o:LockedField>
          </o:OLEObject>
        </w:objec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jc w:val="left"/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2、快速收货设置</w:t>
      </w:r>
    </w:p>
    <w:p>
      <w:r>
        <w:drawing>
          <wp:inline distT="0" distB="0" distL="114300" distR="114300">
            <wp:extent cx="5267325" cy="273304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快速收货时获取转单场景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3.1、如订单待排货时，自动排货，并获取转单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3.2、如订单已排货并收货重不在走货路线设置的重量范围时，重新排货，并获取转单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3.3、如订单已排货并收货重未超出走货路线设置的重量范围时，不做任何处理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排货页面，增加获取转单功能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4.1、运单表需增加三个字段：LABEL_URL, INVOICE_URL,转单异常 </w:t>
      </w:r>
      <w:r>
        <w:rPr>
          <w:rFonts w:hint="eastAsia"/>
          <w:b/>
          <w:bCs/>
          <w:color w:val="FF0000"/>
          <w:lang w:val="en-US" w:eastAsia="zh-CN"/>
        </w:rPr>
        <w:t xml:space="preserve"> （建议加在最小状态表中）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4.2、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7501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6670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F6E68"/>
    <w:multiLevelType w:val="singleLevel"/>
    <w:tmpl w:val="B35F6E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FF508"/>
    <w:multiLevelType w:val="singleLevel"/>
    <w:tmpl w:val="51EFF50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A4526"/>
    <w:rsid w:val="0B80131D"/>
    <w:rsid w:val="1E8D621F"/>
    <w:rsid w:val="6C2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2021-08-20T08:42:00Z</dcterms:created>
  <dc:creator>Simon</dc:creator>
  <cp:lastModifiedBy>Simon</cp:lastModifiedBy>
  <dcterms:modified xsi:type="dcterms:W3CDTF">2021-08-20T10:41:27Z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0FA4A67A39E44287923B266D3FBEE9E0</vt:lpwstr>
  </property>
</Properties>
</file>