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锁帐的基本原则</w:t>
      </w:r>
    </w:p>
    <w:p>
      <w:pPr>
        <w:numPr>
          <w:ilvl w:val="1"/>
          <w:numId w:val="2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以运单、提单维度锁帐，用户可以自由选择</w:t>
      </w:r>
      <w:r>
        <w:rPr>
          <w:rFonts w:hint="eastAsia"/>
          <w:lang w:val="en-US" w:eastAsia="zh-CN"/>
        </w:rPr>
        <w:t>运单</w:t>
      </w:r>
      <w:r>
        <w:rPr>
          <w:rFonts w:hint="default"/>
          <w:lang w:val="en-US" w:eastAsia="zh-CN"/>
        </w:rPr>
        <w:t>、提单锁帐或解锁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default"/>
          <w:lang w:val="en-US" w:eastAsia="zh-CN"/>
        </w:rPr>
        <w:t>2、运单锁帐后，收入成本源报表中的应收、应付费用不允许改变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1.3、运单锁帐后，运单数据不能修改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1.4</w:t>
      </w:r>
      <w:r>
        <w:rPr>
          <w:rFonts w:hint="default"/>
          <w:lang w:val="en-US" w:eastAsia="zh-CN"/>
        </w:rPr>
        <w:t>、运单锁帐后，锁帐的运单不允许对客户帐单明细新增、修改、删除费用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1.5</w:t>
      </w:r>
      <w:r>
        <w:rPr>
          <w:rFonts w:hint="default"/>
          <w:lang w:val="en-US" w:eastAsia="zh-CN"/>
        </w:rPr>
        <w:t>、运单锁帐后，锁帐的运单不允许对派送帐单明细新增、修改、删除费用</w:t>
      </w:r>
    </w:p>
    <w:p>
      <w:pPr>
        <w:numPr>
          <w:numId w:val="0"/>
        </w:num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1.6</w:t>
      </w:r>
      <w:r>
        <w:rPr>
          <w:rFonts w:hint="default"/>
          <w:b/>
          <w:bCs/>
          <w:color w:val="FF0000"/>
          <w:lang w:val="en-US" w:eastAsia="zh-CN"/>
        </w:rPr>
        <w:t>、运单锁帐后，锁帐的运单</w:t>
      </w:r>
      <w:r>
        <w:rPr>
          <w:rFonts w:hint="eastAsia"/>
          <w:b/>
          <w:bCs/>
          <w:color w:val="FF0000"/>
          <w:lang w:val="en-US" w:eastAsia="zh-CN"/>
        </w:rPr>
        <w:t>所</w:t>
      </w:r>
      <w:r>
        <w:rPr>
          <w:rFonts w:hint="default"/>
          <w:b/>
          <w:bCs/>
          <w:color w:val="FF0000"/>
          <w:lang w:val="en-US" w:eastAsia="zh-CN"/>
        </w:rPr>
        <w:t>在的承运明细，</w:t>
      </w:r>
      <w:r>
        <w:rPr>
          <w:rFonts w:hint="eastAsia"/>
          <w:b/>
          <w:bCs/>
          <w:color w:val="FF0000"/>
          <w:lang w:val="en-US" w:eastAsia="zh-CN"/>
        </w:rPr>
        <w:t>承运明细</w:t>
      </w:r>
      <w:r>
        <w:rPr>
          <w:rFonts w:hint="default"/>
          <w:b/>
          <w:bCs/>
          <w:color w:val="FF0000"/>
          <w:lang w:val="en-US" w:eastAsia="zh-CN"/>
        </w:rPr>
        <w:t>不允许分摊</w:t>
      </w: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1.7</w:t>
      </w:r>
      <w:r>
        <w:rPr>
          <w:rFonts w:hint="default"/>
          <w:lang w:val="en-US" w:eastAsia="zh-CN"/>
        </w:rPr>
        <w:t>、提单锁帐后，锁帐的提单不允许做承运帐单明细的新增、修改、删除费用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收入成本源报表</w:t>
      </w:r>
    </w:p>
    <w:p>
      <w:r>
        <w:drawing>
          <wp:inline distT="0" distB="0" distL="114300" distR="114300">
            <wp:extent cx="5266055" cy="3047365"/>
            <wp:effectExtent l="0" t="0" r="444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4150" cy="2937510"/>
            <wp:effectExtent l="0" t="0" r="635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客户帐单明细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3.1、表格中，在转本币金额后加一列：锁帐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3.2、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87930"/>
            <wp:effectExtent l="0" t="0" r="381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派送帐单明细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4.1、在转本币金额后面加一列：锁帐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派送对帐单管理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5.1、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32195" cy="2950845"/>
            <wp:effectExtent l="0" t="0" r="190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2195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5.2、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30925" cy="2954655"/>
            <wp:effectExtent l="0" t="0" r="3175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129655" cy="2879090"/>
            <wp:effectExtent l="0" t="0" r="444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承运帐单明细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5.1、分摊方式后增加一列：分摊异常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5.2、分摊异常的处理</w:t>
      </w: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5.2.1、如承运明细下的运单已锁帐，不能分摊，写入分摊异常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运单xxxxxxx等XX个已锁帐</w:t>
      </w:r>
      <w:r>
        <w:rPr>
          <w:rFonts w:hint="default"/>
          <w:lang w:val="en-US" w:eastAsia="zh-CN"/>
        </w:rPr>
        <w:t>”</w:t>
      </w:r>
    </w:p>
    <w:p>
      <w:pPr>
        <w:numPr>
          <w:numId w:val="0"/>
        </w:numPr>
        <w:ind w:left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lang w:val="en-US" w:eastAsia="zh-CN"/>
        </w:rPr>
        <w:t>5.2.2、可结算数据，已分摊或待重摊时， 如修改或取消时，分摊状态 = “待重摊”，</w:t>
      </w:r>
      <w:r>
        <w:rPr>
          <w:rFonts w:hint="eastAsia"/>
          <w:b/>
          <w:bCs/>
          <w:color w:val="FF0000"/>
          <w:lang w:val="en-US" w:eastAsia="zh-CN"/>
        </w:rPr>
        <w:t>写入分摊异常</w:t>
      </w:r>
      <w:r>
        <w:rPr>
          <w:rFonts w:hint="default"/>
          <w:b/>
          <w:bCs/>
          <w:color w:val="FF0000"/>
          <w:lang w:val="en-US" w:eastAsia="zh-CN"/>
        </w:rPr>
        <w:t>”</w:t>
      </w:r>
      <w:r>
        <w:rPr>
          <w:rFonts w:hint="eastAsia"/>
          <w:b/>
          <w:bCs/>
          <w:color w:val="FF0000"/>
          <w:lang w:val="en-US" w:eastAsia="zh-CN"/>
        </w:rPr>
        <w:t>金额变化，待重摊</w:t>
      </w:r>
      <w:r>
        <w:rPr>
          <w:rFonts w:hint="default"/>
          <w:b/>
          <w:bCs/>
          <w:color w:val="FF0000"/>
          <w:lang w:val="en-US" w:eastAsia="zh-CN"/>
        </w:rPr>
        <w:t>”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5.2.3、分摊成功时，分摊异常置空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已锁帐的相关栏位显示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7.1、运单结算明细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25210" cy="3085465"/>
            <wp:effectExtent l="0" t="0" r="889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7.2、专线审单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6128385" cy="2750185"/>
            <wp:effectExtent l="0" t="0" r="5715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838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7.3、</w:t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6123305" cy="2985770"/>
            <wp:effectExtent l="0" t="0" r="1079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运单锁帐后，运单、客户帐单明细、派送帐单明细不允许新增、修改、取消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8.1、建立一个公共方法用于判断锁帐后不允许修改，应有如下参数</w:t>
      </w:r>
    </w:p>
    <w:p>
      <w:pPr>
        <w:widowControl w:val="0"/>
        <w:numPr>
          <w:numId w:val="0"/>
        </w:numPr>
        <w:jc w:val="both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运单ID</w:t>
      </w:r>
    </w:p>
    <w:p>
      <w:pPr>
        <w:widowControl w:val="0"/>
        <w:numPr>
          <w:numId w:val="0"/>
        </w:numPr>
        <w:jc w:val="both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寄件日期  （为了做预留）</w:t>
      </w: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object>
          <v:shape id="_x0000_i103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Excel.Sheet.12" ShapeID="_x0000_i1035" DrawAspect="Icon" ObjectID="_1468075725" r:id="rId13">
            <o:LockedField>false</o:LockedField>
          </o:OLEObject>
        </w:object>
      </w:r>
      <w:bookmarkEnd w:id="0"/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646" w:bottom="1440" w:left="5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9F1C59"/>
    <w:multiLevelType w:val="singleLevel"/>
    <w:tmpl w:val="E09F1C5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6199FA18"/>
    <w:multiLevelType w:val="multilevel"/>
    <w:tmpl w:val="6199FA18"/>
    <w:lvl w:ilvl="0" w:tentative="0">
      <w:start w:val="1"/>
      <w:numFmt w:val="decimal"/>
      <w:suff w:val="nothing"/>
      <w:lvlText w:val="%1、"/>
      <w:lvlJc w:val="left"/>
      <w:pPr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suff w:val="nothing"/>
      <w:lvlText w:val="%1.%2、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nothing"/>
      <w:lvlText w:val="%1.%2.%3、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nothing"/>
      <w:lvlText w:val="%1.%2.%3.%4、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nothing"/>
      <w:lvlText w:val="%1.%2.%3.%4.%5、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nothing"/>
      <w:lvlText w:val="%1.%2.%3.%4.%5.%6、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nothing"/>
      <w:lvlText w:val="%1.%2.%3.%4.%5.%6.%7、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nothing"/>
      <w:lvlText w:val="%1.%2.%3.%4.%5.%6.%7.%8、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nothing"/>
      <w:lvlText w:val="%1.%2.%3.%4.%5.%6.%7.%8.%9、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576A58"/>
    <w:rsid w:val="2A576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emf"/><Relationship Id="rId13" Type="http://schemas.openxmlformats.org/officeDocument/2006/relationships/oleObject" Target="embeddings/oleObject1.bin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2021-12-29T02:15:00Z</dcterms:created>
  <dc:creator>Simon</dc:creator>
  <cp:lastModifiedBy>Simon</cp:lastModifiedBy>
  <dcterms:modified xsi:type="dcterms:W3CDTF">2021-12-29T03:42:28Z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8209AAB966034F2D90857370AC5B222F</vt:lpwstr>
  </property>
</Properties>
</file>